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D748" w14:textId="28392BD9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R2-200</w:t>
      </w:r>
      <w:r w:rsidR="003D18DC">
        <w:rPr>
          <w:rFonts w:ascii="Arial" w:eastAsia="MS Mincho" w:hAnsi="Arial"/>
          <w:b/>
          <w:sz w:val="24"/>
          <w:szCs w:val="24"/>
          <w:lang w:eastAsia="en-GB"/>
        </w:rPr>
        <w:t>4074</w:t>
      </w:r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eastAsia="zh-CN"/>
        </w:rPr>
        <w:t>Draft LS to RAN1 to check the view on sidelink</w:t>
      </w:r>
    </w:p>
    <w:p w14:paraId="6F0A7925" w14:textId="77777777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-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15BDB749" w:rsidR="003D18DC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3D18DC">
        <w:rPr>
          <w:rFonts w:ascii="Arial" w:hAnsi="Arial" w:cs="Arial"/>
          <w:b/>
          <w:bCs/>
        </w:rPr>
        <w:t>RAN2</w:t>
      </w:r>
    </w:p>
    <w:p w14:paraId="7B2F7D3B" w14:textId="5955E4AA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>
        <w:rPr>
          <w:rFonts w:ascii="Arial" w:hAnsi="Arial" w:cs="Arial"/>
          <w:b/>
          <w:bCs/>
          <w:lang w:val="fi-FI" w:eastAsia="zh-CN"/>
        </w:rPr>
        <w:t>RAN1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77777777" w:rsidR="00995206" w:rsidRDefault="006A05A2">
      <w:pPr>
        <w:pStyle w:val="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>
        <w:rPr>
          <w:rFonts w:cs="Arial"/>
          <w:bCs/>
          <w:lang w:val="en-US" w:eastAsia="zh-CN"/>
        </w:rPr>
        <w:t>Li Zhao</w:t>
      </w:r>
    </w:p>
    <w:p w14:paraId="7E1B8F2F" w14:textId="77777777" w:rsidR="00995206" w:rsidRDefault="006A05A2">
      <w:pPr>
        <w:pStyle w:val="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  <w:t>zhaoli8@huawei.</w:t>
      </w:r>
      <w:r>
        <w:rPr>
          <w:rFonts w:cs="Arial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77777777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7AA4B32E" w:rsidR="003F22AE" w:rsidRDefault="006A05A2" w:rsidP="003F22AE">
      <w:pPr>
        <w:pStyle w:val="ae"/>
        <w:numPr>
          <w:ilvl w:val="0"/>
          <w:numId w:val="1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B1BD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reached the agreement that </w:t>
      </w:r>
    </w:p>
    <w:p w14:paraId="036B04FD" w14:textId="6B0EAF44" w:rsidR="003F22AE" w:rsidRPr="00FA0110" w:rsidRDefault="006A05A2" w:rsidP="00FA0110">
      <w:pPr>
        <w:pStyle w:val="ae"/>
        <w:numPr>
          <w:ilvl w:val="0"/>
          <w:numId w:val="3"/>
        </w:numPr>
        <w:spacing w:after="180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Keep the parameters sl-NrOfHARQ-Processes-r16 and sl-HARQ-ProcID-offset-r16 in TS 38.331. Remove directly the related Editor’s Note in SL-ConfiguredGrantConfig. How the two parameters are used is further discussed in MAC</w:t>
      </w:r>
      <w:r w:rsidRPr="00FA0110">
        <w:rPr>
          <w:rFonts w:ascii="Arial" w:hAnsi="Arial" w:cs="Arial"/>
        </w:rPr>
        <w:t xml:space="preserve">”. </w:t>
      </w:r>
    </w:p>
    <w:p w14:paraId="36FD7A35" w14:textId="5C7EB177" w:rsidR="00995206" w:rsidRPr="00FA0110" w:rsidRDefault="006A05A2" w:rsidP="00FA0110">
      <w:pPr>
        <w:spacing w:after="180"/>
        <w:ind w:left="420"/>
        <w:rPr>
          <w:rFonts w:ascii="Arial" w:hAnsi="Arial" w:cs="Arial"/>
        </w:rPr>
      </w:pPr>
      <w:r w:rsidRPr="00FA0110">
        <w:rPr>
          <w:rFonts w:ascii="Arial" w:hAnsi="Arial" w:cs="Arial"/>
        </w:rPr>
        <w:t>RAN2 would like to enquire RAN1 whether the IIoT equation for HARQ process ID calculation, in the case of multiple configured grant</w:t>
      </w:r>
      <w:r w:rsidR="006132A3" w:rsidRPr="00FA0110">
        <w:rPr>
          <w:rFonts w:ascii="Arial" w:hAnsi="Arial" w:cs="Arial"/>
        </w:rPr>
        <w:t>s</w:t>
      </w:r>
      <w:r w:rsidRPr="00FA0110">
        <w:rPr>
          <w:rFonts w:ascii="Arial" w:hAnsi="Arial" w:cs="Arial"/>
        </w:rPr>
        <w:t>, can be used for NR SL:</w:t>
      </w:r>
    </w:p>
    <w:p w14:paraId="35460E8F" w14:textId="5E7553DF" w:rsidR="00995206" w:rsidRDefault="001B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213" w:left="426" w:rightChars="113" w:right="226"/>
        <w:jc w:val="center"/>
        <w:rPr>
          <w:rFonts w:ascii="Arial" w:hAnsi="Arial" w:cs="Arial"/>
        </w:rPr>
      </w:pPr>
      <w:r>
        <w:rPr>
          <w:lang w:eastAsia="ko-KR"/>
        </w:rPr>
        <w:t xml:space="preserve">HARQ Process ID = [floor(CURRENT_symbol / </w:t>
      </w:r>
      <w:r>
        <w:rPr>
          <w:i/>
          <w:lang w:eastAsia="ko-KR"/>
        </w:rPr>
        <w:t>periodicity</w:t>
      </w:r>
      <w:r>
        <w:rPr>
          <w:lang w:eastAsia="ko-KR"/>
        </w:rPr>
        <w:t xml:space="preserve">)] modulo </w:t>
      </w:r>
      <w:r>
        <w:rPr>
          <w:i/>
          <w:lang w:eastAsia="ko-KR"/>
        </w:rPr>
        <w:t>nrofHARQ-Processes</w:t>
      </w:r>
      <w:r>
        <w:rPr>
          <w:lang w:eastAsia="ko-KR"/>
        </w:rPr>
        <w:t xml:space="preserve"> + </w:t>
      </w:r>
      <w:r>
        <w:rPr>
          <w:i/>
          <w:lang w:eastAsia="ko-KR"/>
        </w:rPr>
        <w:t>harq-ProcID-Offset2</w:t>
      </w:r>
    </w:p>
    <w:p w14:paraId="5BA94C7A" w14:textId="77777777" w:rsidR="00995206" w:rsidRDefault="00995206">
      <w:pPr>
        <w:pStyle w:val="ae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257ECAAB" w14:textId="77777777" w:rsidR="003F22AE" w:rsidRDefault="006A05A2" w:rsidP="003F22AE">
      <w:pPr>
        <w:pStyle w:val="ae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parameters </w:t>
      </w:r>
      <w:r>
        <w:rPr>
          <w:rFonts w:ascii="Arial" w:hAnsi="Arial" w:cs="Arial"/>
          <w:i/>
        </w:rPr>
        <w:t xml:space="preserve">sl-MinMCS-PSSCH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i/>
        </w:rPr>
        <w:t>sl-MaxMCS-PSSCH</w:t>
      </w:r>
      <w:r>
        <w:rPr>
          <w:rFonts w:ascii="Arial" w:hAnsi="Arial" w:cs="Arial"/>
        </w:rPr>
        <w:t xml:space="preserve"> included in </w:t>
      </w:r>
      <w:r>
        <w:rPr>
          <w:rFonts w:ascii="Arial" w:hAnsi="Arial" w:cs="Arial"/>
          <w:i/>
        </w:rPr>
        <w:t>sl-ScheduledConfig</w:t>
      </w:r>
      <w:r>
        <w:rPr>
          <w:rFonts w:ascii="Arial" w:hAnsi="Arial" w:cs="Arial"/>
        </w:rPr>
        <w:t xml:space="preserve"> in TS 38.331, V16.0.0 (corresponding to </w:t>
      </w:r>
      <w:r>
        <w:rPr>
          <w:rFonts w:ascii="Arial" w:hAnsi="Arial" w:cs="Arial"/>
          <w:i/>
        </w:rPr>
        <w:t>minMcs-Mode1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  <w:i/>
        </w:rPr>
        <w:t>maxMcs-Mode1</w:t>
      </w:r>
      <w:r>
        <w:rPr>
          <w:rFonts w:ascii="Arial" w:hAnsi="Arial" w:cs="Arial"/>
        </w:rPr>
        <w:t xml:space="preserve"> in R1-2001478), RAN2 made the </w:t>
      </w:r>
      <w:r>
        <w:rPr>
          <w:rFonts w:ascii="Arial" w:hAnsi="Arial" w:cs="Arial" w:hint="eastAsia"/>
          <w:lang w:val="en-US" w:eastAsia="zh-CN"/>
        </w:rPr>
        <w:t xml:space="preserve">working </w:t>
      </w:r>
      <w:r>
        <w:rPr>
          <w:rFonts w:ascii="Arial" w:hAnsi="Arial" w:cs="Arial"/>
        </w:rPr>
        <w:t xml:space="preserve">assumption that </w:t>
      </w:r>
    </w:p>
    <w:p w14:paraId="033A66F2" w14:textId="67FE7E07" w:rsidR="003F22AE" w:rsidRPr="00FA0110" w:rsidRDefault="006A05A2" w:rsidP="00FA0110">
      <w:pPr>
        <w:pStyle w:val="ae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only one MCS range is configured applying to both dynamic grant and configured grant type 1/2; no configured grant type 1/2 specific MCS range is further needed”.</w:t>
      </w:r>
      <w:r w:rsidRPr="00FA0110">
        <w:rPr>
          <w:rFonts w:ascii="Arial" w:hAnsi="Arial" w:cs="Arial"/>
        </w:rPr>
        <w:t xml:space="preserve"> </w:t>
      </w:r>
    </w:p>
    <w:p w14:paraId="4239C5BB" w14:textId="77777777" w:rsidR="00995206" w:rsidRDefault="00995206">
      <w:pPr>
        <w:pStyle w:val="ae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2D76B2A0" w14:textId="77777777" w:rsidR="003F22AE" w:rsidRDefault="006A05A2" w:rsidP="003F22AE">
      <w:pPr>
        <w:pStyle w:val="ae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 </w:t>
      </w:r>
      <w:r>
        <w:rPr>
          <w:rFonts w:ascii="Arial" w:hAnsi="Arial" w:cs="Arial"/>
          <w:i/>
        </w:rPr>
        <w:t>sl-PSFCH-RB-Set</w:t>
      </w:r>
      <w:r>
        <w:rPr>
          <w:rFonts w:ascii="Arial" w:hAnsi="Arial" w:cs="Arial"/>
        </w:rPr>
        <w:t xml:space="preserve"> in TS 38.331, V16.0,0 (corresponding to </w:t>
      </w:r>
      <w:r>
        <w:rPr>
          <w:rFonts w:ascii="Arial" w:hAnsi="Arial" w:cs="Arial"/>
          <w:i/>
        </w:rPr>
        <w:t>rbSetPSFCH</w:t>
      </w:r>
      <w:r>
        <w:rPr>
          <w:rFonts w:ascii="Arial" w:hAnsi="Arial" w:cs="Arial"/>
        </w:rPr>
        <w:t xml:space="preserve"> in R1-2001478), RAN2 </w:t>
      </w:r>
      <w:r>
        <w:rPr>
          <w:rFonts w:ascii="Arial" w:hAnsi="Arial" w:cs="Arial" w:hint="eastAsia"/>
          <w:lang w:eastAsia="zh-CN"/>
        </w:rPr>
        <w:t>agreed</w:t>
      </w:r>
      <w:r>
        <w:rPr>
          <w:rFonts w:ascii="Arial" w:hAnsi="Arial" w:cs="Arial"/>
        </w:rPr>
        <w:t xml:space="preserve"> that </w:t>
      </w:r>
    </w:p>
    <w:p w14:paraId="3D6381B5" w14:textId="78296F4B" w:rsidR="00995206" w:rsidRPr="00FA0110" w:rsidRDefault="006A05A2" w:rsidP="00FA0110">
      <w:pPr>
        <w:pStyle w:val="ae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  <w:iCs/>
        </w:rPr>
        <w:t>The leftmost bit indicated by the bitmap refers to the lowes</w:t>
      </w:r>
      <w:r w:rsidR="00CD64A0" w:rsidRPr="00FA0110">
        <w:rPr>
          <w:rFonts w:ascii="Arial" w:hAnsi="Arial" w:cs="Arial"/>
          <w:i/>
          <w:iCs/>
        </w:rPr>
        <w:t>t RB index in the resource pool</w:t>
      </w:r>
      <w:r w:rsidRPr="00FA0110">
        <w:rPr>
          <w:rFonts w:ascii="Arial" w:hAnsi="Arial" w:cs="Arial"/>
        </w:rPr>
        <w:t>”</w:t>
      </w:r>
      <w:r w:rsidR="00CD64A0" w:rsidRPr="00FA0110">
        <w:rPr>
          <w:rFonts w:ascii="Arial" w:hAnsi="Arial" w:cs="Arial"/>
          <w:lang w:eastAsia="zh-CN"/>
        </w:rPr>
        <w:t>.</w:t>
      </w:r>
    </w:p>
    <w:p w14:paraId="2D73D060" w14:textId="77777777" w:rsidR="00995206" w:rsidRPr="00CD64A0" w:rsidRDefault="00995206">
      <w:pPr>
        <w:pStyle w:val="ae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4F0DC1A0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58DC9EEE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RAN1 to indicate whether the IIoT equation in point </w:t>
      </w:r>
      <w:bookmarkStart w:id="1" w:name="_GoBack"/>
      <w:bookmarkEnd w:id="1"/>
      <w:r>
        <w:rPr>
          <w:rFonts w:ascii="Arial" w:hAnsi="Arial" w:cs="Arial"/>
        </w:rPr>
        <w:t>1 above can be used for NR sidelink.</w:t>
      </w:r>
    </w:p>
    <w:p w14:paraId="7D598E7C" w14:textId="77777777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RAN2 respectfully asks RAN1 to confirm whether there is any concern on the working assumption made in point 2.</w:t>
      </w:r>
    </w:p>
    <w:p w14:paraId="5DB4389D" w14:textId="1E2A4F8F" w:rsidR="00995206" w:rsidRDefault="006A05A2" w:rsidP="001B11BB">
      <w:p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RAN2 respectfully asks RAN1 to take point 3 into account and provide feedback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 xml:space="preserve">if any. </w:t>
      </w:r>
    </w:p>
    <w:p w14:paraId="65ECC516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>
        <w:rPr>
          <w:rFonts w:ascii="Arial" w:hAnsi="Arial" w:cs="Arial"/>
          <w:bCs/>
          <w:lang w:eastAsia="zh-CN"/>
        </w:rPr>
        <w:tab/>
        <w:t>25 – 29 May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128CF" w16cid:durableId="224D21FB"/>
  <w16cid:commentId w16cid:paraId="7D35AFC9" w16cid:durableId="224D2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3F6DE" w14:textId="77777777" w:rsidR="00126DC1" w:rsidRDefault="00126DC1" w:rsidP="002E2A76">
      <w:r>
        <w:separator/>
      </w:r>
    </w:p>
  </w:endnote>
  <w:endnote w:type="continuationSeparator" w:id="0">
    <w:p w14:paraId="6CDBE4B8" w14:textId="77777777" w:rsidR="00126DC1" w:rsidRDefault="00126DC1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5E8CB" w14:textId="77777777" w:rsidR="00126DC1" w:rsidRDefault="00126DC1" w:rsidP="002E2A76">
      <w:r>
        <w:separator/>
      </w:r>
    </w:p>
  </w:footnote>
  <w:footnote w:type="continuationSeparator" w:id="0">
    <w:p w14:paraId="25022C14" w14:textId="77777777" w:rsidR="00126DC1" w:rsidRDefault="00126DC1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26DC1"/>
    <w:rsid w:val="00141C07"/>
    <w:rsid w:val="001548E0"/>
    <w:rsid w:val="00157502"/>
    <w:rsid w:val="001722EE"/>
    <w:rsid w:val="001955E8"/>
    <w:rsid w:val="001A07ED"/>
    <w:rsid w:val="001A6F6E"/>
    <w:rsid w:val="001B11BB"/>
    <w:rsid w:val="001C5955"/>
    <w:rsid w:val="001E1B02"/>
    <w:rsid w:val="00200AE1"/>
    <w:rsid w:val="0020497B"/>
    <w:rsid w:val="002065CB"/>
    <w:rsid w:val="00226D55"/>
    <w:rsid w:val="00237952"/>
    <w:rsid w:val="00263438"/>
    <w:rsid w:val="00281351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91AB3"/>
    <w:rsid w:val="003A14C9"/>
    <w:rsid w:val="003A1B29"/>
    <w:rsid w:val="003A3BEE"/>
    <w:rsid w:val="003A7964"/>
    <w:rsid w:val="003B3707"/>
    <w:rsid w:val="003B6BB9"/>
    <w:rsid w:val="003D18DC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429"/>
    <w:rsid w:val="004E0D07"/>
    <w:rsid w:val="004F3B6E"/>
    <w:rsid w:val="004F41B5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1275C"/>
    <w:rsid w:val="006132A3"/>
    <w:rsid w:val="00614F9D"/>
    <w:rsid w:val="00624752"/>
    <w:rsid w:val="006265FC"/>
    <w:rsid w:val="006418AC"/>
    <w:rsid w:val="00651837"/>
    <w:rsid w:val="00666B1C"/>
    <w:rsid w:val="00667419"/>
    <w:rsid w:val="00673A06"/>
    <w:rsid w:val="006843E1"/>
    <w:rsid w:val="00686EDC"/>
    <w:rsid w:val="006A05A2"/>
    <w:rsid w:val="006B5170"/>
    <w:rsid w:val="006C33E1"/>
    <w:rsid w:val="006D5D7E"/>
    <w:rsid w:val="006F7661"/>
    <w:rsid w:val="007032CE"/>
    <w:rsid w:val="00710639"/>
    <w:rsid w:val="0073024C"/>
    <w:rsid w:val="007333DE"/>
    <w:rsid w:val="007364B7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7D7FAC"/>
    <w:rsid w:val="00811861"/>
    <w:rsid w:val="0081431A"/>
    <w:rsid w:val="00817F3C"/>
    <w:rsid w:val="00821B78"/>
    <w:rsid w:val="00846453"/>
    <w:rsid w:val="008629C1"/>
    <w:rsid w:val="00873156"/>
    <w:rsid w:val="008A2411"/>
    <w:rsid w:val="008C49D0"/>
    <w:rsid w:val="008E6B03"/>
    <w:rsid w:val="008F4C00"/>
    <w:rsid w:val="008F7B14"/>
    <w:rsid w:val="00905DD6"/>
    <w:rsid w:val="0091304F"/>
    <w:rsid w:val="0091698C"/>
    <w:rsid w:val="009641DE"/>
    <w:rsid w:val="00977AF3"/>
    <w:rsid w:val="00977B87"/>
    <w:rsid w:val="009820A8"/>
    <w:rsid w:val="00987AA8"/>
    <w:rsid w:val="0099063C"/>
    <w:rsid w:val="00990B37"/>
    <w:rsid w:val="00992646"/>
    <w:rsid w:val="00995206"/>
    <w:rsid w:val="009C43F8"/>
    <w:rsid w:val="009C5942"/>
    <w:rsid w:val="009E340D"/>
    <w:rsid w:val="009F0A6B"/>
    <w:rsid w:val="00A1654B"/>
    <w:rsid w:val="00A2224C"/>
    <w:rsid w:val="00A546D7"/>
    <w:rsid w:val="00A54BE2"/>
    <w:rsid w:val="00A5727E"/>
    <w:rsid w:val="00AA6CF4"/>
    <w:rsid w:val="00AE32F6"/>
    <w:rsid w:val="00AE4ACC"/>
    <w:rsid w:val="00AF47C4"/>
    <w:rsid w:val="00AF56AD"/>
    <w:rsid w:val="00AF6080"/>
    <w:rsid w:val="00B169A3"/>
    <w:rsid w:val="00B37790"/>
    <w:rsid w:val="00B45B39"/>
    <w:rsid w:val="00B50D72"/>
    <w:rsid w:val="00B6000D"/>
    <w:rsid w:val="00B7466A"/>
    <w:rsid w:val="00B76D6D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D64A0"/>
    <w:rsid w:val="00CE3EC5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61470"/>
    <w:rsid w:val="00F7032E"/>
    <w:rsid w:val="00F975CD"/>
    <w:rsid w:val="00FA0110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4">
    <w:name w:val="annotation text"/>
    <w:basedOn w:val="a"/>
    <w:link w:val="Char"/>
    <w:uiPriority w:val="99"/>
    <w:semiHidden/>
    <w:unhideWhenUsed/>
    <w:qFormat/>
  </w:style>
  <w:style w:type="paragraph" w:styleId="a5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0">
    <w:name w:val="正文文本 Char"/>
    <w:basedOn w:val="a0"/>
    <w:link w:val="a5"/>
    <w:semiHidden/>
    <w:qFormat/>
    <w:rPr>
      <w:rFonts w:ascii="Arial" w:eastAsia="宋体" w:hAnsi="Arial" w:cs="Arial"/>
      <w:color w:val="FF0000"/>
      <w:sz w:val="20"/>
      <w:szCs w:val="20"/>
    </w:rPr>
  </w:style>
  <w:style w:type="paragraph" w:styleId="ae">
    <w:name w:val="List Paragraph"/>
    <w:basedOn w:val="a"/>
    <w:link w:val="Char5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4"/>
    <w:uiPriority w:val="99"/>
    <w:semiHidden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Segoe UI" w:eastAsia="宋体" w:hAnsi="Segoe UI" w:cs="Segoe UI"/>
      <w:sz w:val="18"/>
      <w:szCs w:val="18"/>
    </w:rPr>
  </w:style>
  <w:style w:type="character" w:customStyle="1" w:styleId="Char5">
    <w:name w:val="列出段落 Char"/>
    <w:link w:val="ae"/>
    <w:uiPriority w:val="34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har3">
    <w:name w:val="页眉 Char"/>
    <w:basedOn w:val="a0"/>
    <w:link w:val="a8"/>
    <w:uiPriority w:val="99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7"/>
    <w:uiPriority w:val="99"/>
    <w:rPr>
      <w:rFonts w:eastAsia="宋体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BB26E2F-5B79-4FB7-99A4-AB148A9A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7</cp:revision>
  <dcterms:created xsi:type="dcterms:W3CDTF">2020-04-24T07:42:00Z</dcterms:created>
  <dcterms:modified xsi:type="dcterms:W3CDTF">2020-04-24T11:32:00Z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